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430925" w14:textId="030D3557" w:rsidR="002E685A" w:rsidRPr="002D676E" w:rsidRDefault="002E685A" w:rsidP="002E685A">
      <w:pPr>
        <w:pStyle w:val="3GPPHeader"/>
        <w:spacing w:after="60"/>
        <w:rPr>
          <w:sz w:val="32"/>
          <w:szCs w:val="32"/>
          <w:highlight w:val="yellow"/>
        </w:rPr>
      </w:pPr>
      <w:r w:rsidRPr="000A1D33">
        <w:t>3GPP TSG-RAN WG1 Meeting #</w:t>
      </w:r>
      <w:r>
        <w:t>92b</w:t>
      </w:r>
      <w:r w:rsidRPr="002D676E">
        <w:tab/>
      </w:r>
      <w:r w:rsidRPr="002D676E">
        <w:rPr>
          <w:sz w:val="32"/>
          <w:szCs w:val="32"/>
        </w:rPr>
        <w:t xml:space="preserve"> R1-</w:t>
      </w:r>
      <w:r w:rsidR="00A37C37" w:rsidRPr="00A37C37">
        <w:rPr>
          <w:sz w:val="32"/>
          <w:szCs w:val="32"/>
        </w:rPr>
        <w:t>1805167</w:t>
      </w:r>
      <w:bookmarkStart w:id="0" w:name="_GoBack"/>
      <w:bookmarkEnd w:id="0"/>
    </w:p>
    <w:p w14:paraId="36C2B9F1" w14:textId="77777777" w:rsidR="002E685A" w:rsidRPr="002D676E" w:rsidRDefault="002E685A" w:rsidP="002E685A">
      <w:pPr>
        <w:pStyle w:val="3GPPHeader"/>
      </w:pPr>
      <w:r w:rsidRPr="002D676E">
        <w:t>Sanya, P.R. China, 16</w:t>
      </w:r>
      <w:r w:rsidRPr="002D676E">
        <w:rPr>
          <w:vertAlign w:val="superscript"/>
        </w:rPr>
        <w:t>th</w:t>
      </w:r>
      <w:r w:rsidRPr="002D676E">
        <w:t xml:space="preserve"> – 20</w:t>
      </w:r>
      <w:r w:rsidRPr="002D676E">
        <w:rPr>
          <w:vertAlign w:val="superscript"/>
        </w:rPr>
        <w:t>th</w:t>
      </w:r>
      <w:r w:rsidRPr="002D676E">
        <w:t xml:space="preserve"> of April, 2018</w:t>
      </w:r>
    </w:p>
    <w:p w14:paraId="676422CC" w14:textId="77777777" w:rsidR="002E685A" w:rsidRPr="002D676E" w:rsidRDefault="002E685A" w:rsidP="002E685A">
      <w:pPr>
        <w:pStyle w:val="3GPPHeader"/>
      </w:pPr>
    </w:p>
    <w:p w14:paraId="0797DA8F" w14:textId="670DCA0A" w:rsidR="002E685A" w:rsidRPr="000B3F04" w:rsidRDefault="002E685A" w:rsidP="002E685A">
      <w:pPr>
        <w:pStyle w:val="3GPPHeader"/>
        <w:rPr>
          <w:sz w:val="22"/>
        </w:rPr>
      </w:pPr>
      <w:r w:rsidRPr="000B3F04">
        <w:rPr>
          <w:sz w:val="22"/>
        </w:rPr>
        <w:t>Agenda Item:</w:t>
      </w:r>
      <w:r w:rsidRPr="000B3F04">
        <w:rPr>
          <w:sz w:val="22"/>
        </w:rPr>
        <w:tab/>
      </w:r>
      <w:r w:rsidR="0062103F" w:rsidRPr="000B3F04">
        <w:rPr>
          <w:sz w:val="22"/>
        </w:rPr>
        <w:t>6.2.8.3</w:t>
      </w:r>
    </w:p>
    <w:p w14:paraId="684B06A7" w14:textId="77777777" w:rsidR="00E90E49" w:rsidRPr="007B78FE" w:rsidRDefault="003D3C45" w:rsidP="00F64C2B">
      <w:pPr>
        <w:pStyle w:val="3GPPHeader"/>
        <w:rPr>
          <w:sz w:val="22"/>
        </w:rPr>
      </w:pPr>
      <w:r w:rsidRPr="007B78FE">
        <w:rPr>
          <w:sz w:val="22"/>
        </w:rPr>
        <w:t>Source:</w:t>
      </w:r>
      <w:r w:rsidR="00E90E49" w:rsidRPr="007B78FE">
        <w:rPr>
          <w:sz w:val="22"/>
        </w:rPr>
        <w:tab/>
      </w:r>
      <w:r w:rsidR="00F64C2B" w:rsidRPr="007B78FE">
        <w:rPr>
          <w:sz w:val="22"/>
        </w:rPr>
        <w:t>Ericsson</w:t>
      </w:r>
    </w:p>
    <w:p w14:paraId="39D1628B" w14:textId="329185B2" w:rsidR="003707D2" w:rsidRDefault="003D3C45" w:rsidP="003707D2">
      <w:pPr>
        <w:pStyle w:val="3GPPHeader"/>
        <w:ind w:left="1701" w:hanging="1701"/>
        <w:rPr>
          <w:sz w:val="22"/>
        </w:rPr>
      </w:pPr>
      <w:r w:rsidRPr="007B78FE">
        <w:rPr>
          <w:sz w:val="22"/>
        </w:rPr>
        <w:t>Title:</w:t>
      </w:r>
      <w:r w:rsidR="006B5B0F" w:rsidRPr="007B78FE">
        <w:rPr>
          <w:sz w:val="22"/>
        </w:rPr>
        <w:tab/>
      </w:r>
      <w:r w:rsidR="003707D2">
        <w:rPr>
          <w:sz w:val="22"/>
        </w:rPr>
        <w:t xml:space="preserve">On </w:t>
      </w:r>
      <w:r w:rsidR="00AF4BAC">
        <w:rPr>
          <w:sz w:val="22"/>
        </w:rPr>
        <w:t xml:space="preserve">Pre-emption </w:t>
      </w:r>
      <w:r w:rsidR="006521E1">
        <w:rPr>
          <w:sz w:val="22"/>
        </w:rPr>
        <w:t>in</w:t>
      </w:r>
      <w:r w:rsidR="003707D2" w:rsidRPr="003707D2">
        <w:rPr>
          <w:sz w:val="22"/>
        </w:rPr>
        <w:t xml:space="preserve"> </w:t>
      </w:r>
      <w:r w:rsidR="00AF4BAC">
        <w:rPr>
          <w:sz w:val="22"/>
        </w:rPr>
        <w:t>U</w:t>
      </w:r>
      <w:r w:rsidR="00C9762F">
        <w:rPr>
          <w:sz w:val="22"/>
        </w:rPr>
        <w:t>plink</w:t>
      </w:r>
    </w:p>
    <w:p w14:paraId="59D6E79C" w14:textId="341E0DA5" w:rsidR="00E90E49" w:rsidRPr="007B78FE" w:rsidRDefault="00E90E49" w:rsidP="003707D2">
      <w:pPr>
        <w:pStyle w:val="3GPPHeader"/>
        <w:ind w:left="1701" w:hanging="1701"/>
        <w:rPr>
          <w:sz w:val="22"/>
        </w:rPr>
      </w:pPr>
      <w:r w:rsidRPr="007B78FE">
        <w:rPr>
          <w:sz w:val="22"/>
        </w:rPr>
        <w:t>Document for:</w:t>
      </w:r>
      <w:r w:rsidRPr="007B78FE">
        <w:rPr>
          <w:sz w:val="22"/>
        </w:rPr>
        <w:tab/>
      </w:r>
      <w:r w:rsidR="00362DDE">
        <w:rPr>
          <w:sz w:val="22"/>
        </w:rPr>
        <w:t>Discussion, Decision</w:t>
      </w:r>
    </w:p>
    <w:p w14:paraId="23ADEC77" w14:textId="77777777" w:rsidR="0035746C" w:rsidRDefault="0035746C" w:rsidP="0035746C">
      <w:pPr>
        <w:pStyle w:val="Heading1"/>
      </w:pPr>
      <w:r w:rsidRPr="00CE0424">
        <w:t>Introduction</w:t>
      </w:r>
    </w:p>
    <w:p w14:paraId="0A544A12" w14:textId="48E80FAA" w:rsidR="0035746C" w:rsidRDefault="00842499" w:rsidP="0035746C">
      <w:r>
        <w:t>In this paper we discuss the possibilities of allowing pre-emption in UL, and discuss the two main types of pre-emption:</w:t>
      </w:r>
    </w:p>
    <w:p w14:paraId="09ADBBBC" w14:textId="5544E474" w:rsidR="00842499" w:rsidRDefault="00842499" w:rsidP="00842499">
      <w:pPr>
        <w:pStyle w:val="ListParagraph"/>
        <w:numPr>
          <w:ilvl w:val="0"/>
          <w:numId w:val="19"/>
        </w:numPr>
      </w:pPr>
      <w:r>
        <w:t>Intra-UE pre-emption, where the same UE has two types of traffic of which one type is prioritized.</w:t>
      </w:r>
    </w:p>
    <w:p w14:paraId="4EFD299B" w14:textId="7F65B3D5" w:rsidR="00842499" w:rsidRDefault="00842499" w:rsidP="00842499">
      <w:pPr>
        <w:pStyle w:val="ListParagraph"/>
        <w:numPr>
          <w:ilvl w:val="0"/>
          <w:numId w:val="19"/>
        </w:numPr>
      </w:pPr>
      <w:r>
        <w:t>Inter-UE pre-emption, where different UEs have data with different priorities.</w:t>
      </w:r>
    </w:p>
    <w:p w14:paraId="5EAA38BA" w14:textId="513ED0DD" w:rsidR="0035746C" w:rsidRDefault="0035746C" w:rsidP="0035746C">
      <w:pPr>
        <w:pStyle w:val="Heading1"/>
      </w:pPr>
      <w:bookmarkStart w:id="1" w:name="_Ref178064866"/>
      <w:r w:rsidRPr="00CE0424">
        <w:t>Discussion</w:t>
      </w:r>
      <w:bookmarkStart w:id="2" w:name="_Toc455649131"/>
      <w:bookmarkStart w:id="3" w:name="_Toc455649156"/>
      <w:bookmarkStart w:id="4" w:name="_Toc455649182"/>
      <w:bookmarkStart w:id="5" w:name="_Toc455649228"/>
      <w:bookmarkStart w:id="6" w:name="_Toc455649250"/>
      <w:bookmarkStart w:id="7" w:name="_Toc455649272"/>
      <w:bookmarkStart w:id="8" w:name="_Toc455649132"/>
      <w:bookmarkStart w:id="9" w:name="_Toc455649157"/>
      <w:bookmarkStart w:id="10" w:name="_Toc455649183"/>
      <w:bookmarkStart w:id="11" w:name="_Toc455649229"/>
      <w:bookmarkStart w:id="12" w:name="_Toc455649251"/>
      <w:bookmarkStart w:id="13" w:name="_Toc455649273"/>
      <w:bookmarkStart w:id="14" w:name="_Toc455649133"/>
      <w:bookmarkStart w:id="15" w:name="_Toc455649158"/>
      <w:bookmarkStart w:id="16" w:name="_Toc455649184"/>
      <w:bookmarkStart w:id="17" w:name="_Toc455649230"/>
      <w:bookmarkStart w:id="18" w:name="_Toc455649252"/>
      <w:bookmarkStart w:id="19" w:name="_Toc455649274"/>
      <w:bookmarkStart w:id="20" w:name="_Toc455649134"/>
      <w:bookmarkStart w:id="21" w:name="_Toc455649159"/>
      <w:bookmarkStart w:id="22" w:name="_Toc455649185"/>
      <w:bookmarkStart w:id="23" w:name="_Toc455649231"/>
      <w:bookmarkStart w:id="24" w:name="_Toc455649253"/>
      <w:bookmarkStart w:id="25" w:name="_Toc455649275"/>
      <w:bookmarkStart w:id="26" w:name="_Toc455649135"/>
      <w:bookmarkStart w:id="27" w:name="_Toc455649160"/>
      <w:bookmarkStart w:id="28" w:name="_Toc455649186"/>
      <w:bookmarkStart w:id="29" w:name="_Toc455649232"/>
      <w:bookmarkStart w:id="30" w:name="_Toc455649254"/>
      <w:bookmarkStart w:id="31" w:name="_Toc455649276"/>
      <w:bookmarkStart w:id="32" w:name="_Toc455649136"/>
      <w:bookmarkStart w:id="33" w:name="_Toc455649161"/>
      <w:bookmarkStart w:id="34" w:name="_Toc455649187"/>
      <w:bookmarkStart w:id="35" w:name="_Toc455649233"/>
      <w:bookmarkStart w:id="36" w:name="_Toc455649255"/>
      <w:bookmarkStart w:id="37" w:name="_Toc455649277"/>
      <w:bookmarkStart w:id="38" w:name="_Toc455649137"/>
      <w:bookmarkStart w:id="39" w:name="_Toc455649162"/>
      <w:bookmarkStart w:id="40" w:name="_Toc455649188"/>
      <w:bookmarkStart w:id="41" w:name="_Toc455649234"/>
      <w:bookmarkStart w:id="42" w:name="_Toc455649256"/>
      <w:bookmarkStart w:id="43" w:name="_Toc455649278"/>
      <w:bookmarkStart w:id="44" w:name="_Toc455649138"/>
      <w:bookmarkStart w:id="45" w:name="_Toc455649163"/>
      <w:bookmarkStart w:id="46" w:name="_Toc455649189"/>
      <w:bookmarkStart w:id="47" w:name="_Toc455649235"/>
      <w:bookmarkStart w:id="48" w:name="_Toc455649257"/>
      <w:bookmarkStart w:id="49" w:name="_Toc455649279"/>
      <w:bookmarkStart w:id="50" w:name="_Toc455649139"/>
      <w:bookmarkStart w:id="51" w:name="_Toc455649164"/>
      <w:bookmarkStart w:id="52" w:name="_Toc455649190"/>
      <w:bookmarkStart w:id="53" w:name="_Toc455649236"/>
      <w:bookmarkStart w:id="54" w:name="_Toc455649258"/>
      <w:bookmarkStart w:id="55" w:name="_Toc455649280"/>
      <w:bookmarkStart w:id="56" w:name="_Toc455649140"/>
      <w:bookmarkStart w:id="57" w:name="_Toc455649165"/>
      <w:bookmarkStart w:id="58" w:name="_Toc455649191"/>
      <w:bookmarkStart w:id="59" w:name="_Toc455649237"/>
      <w:bookmarkStart w:id="60" w:name="_Toc455649259"/>
      <w:bookmarkStart w:id="61" w:name="_Toc455649281"/>
      <w:bookmarkStart w:id="62" w:name="_Toc455649141"/>
      <w:bookmarkStart w:id="63" w:name="_Toc455649166"/>
      <w:bookmarkStart w:id="64" w:name="_Toc455649192"/>
      <w:bookmarkStart w:id="65" w:name="_Toc455649238"/>
      <w:bookmarkStart w:id="66" w:name="_Toc455649260"/>
      <w:bookmarkStart w:id="67" w:name="_Toc455649282"/>
      <w:bookmarkStart w:id="68" w:name="_Toc46212046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1DF9FCC" w14:textId="476ED702" w:rsidR="00A4638D" w:rsidRPr="00A4638D" w:rsidRDefault="00A4638D" w:rsidP="00A4638D">
      <w:pPr>
        <w:pStyle w:val="Heading2"/>
      </w:pPr>
      <w:r>
        <w:t xml:space="preserve">Enabling </w:t>
      </w:r>
      <w:r w:rsidR="00947B81">
        <w:t xml:space="preserve">of </w:t>
      </w:r>
      <w:r>
        <w:t>intra-UE UL pre-emption</w:t>
      </w:r>
    </w:p>
    <w:p w14:paraId="4F91AA52" w14:textId="0A01C2A3" w:rsidR="0035746C" w:rsidRDefault="0035746C" w:rsidP="0035746C">
      <w:r>
        <w:t xml:space="preserve">In the </w:t>
      </w:r>
      <w:r w:rsidR="006521E1">
        <w:t>intra-UE UL pre-emption</w:t>
      </w:r>
      <w:r>
        <w:t xml:space="preserve"> scenari</w:t>
      </w:r>
      <w:r w:rsidR="00346D30">
        <w:t>o</w:t>
      </w:r>
      <w:r>
        <w:t>, the same UE has UL traffic with different latency requirements to transmit. This may be a less common scenario</w:t>
      </w:r>
      <w:r w:rsidR="002E043D">
        <w:t xml:space="preserve"> that requires physical layer handling</w:t>
      </w:r>
      <w:r>
        <w:t>, since a UE will likely focus on one traffic type during a certain time</w:t>
      </w:r>
      <w:r w:rsidR="002E043D">
        <w:t xml:space="preserve"> using higher layer mechanisms</w:t>
      </w:r>
      <w:r>
        <w:t xml:space="preserve">, either delay tolerant data or delay intolerant data. </w:t>
      </w:r>
    </w:p>
    <w:p w14:paraId="1D1760C3" w14:textId="5D7E314D" w:rsidR="005D4811" w:rsidRDefault="000B0A72" w:rsidP="0035746C">
      <w:r>
        <w:t>For this case, when sTTI is used for high priority traffic, the already standardized rules for prioritizing sTTI channels over subframe channels can be used.</w:t>
      </w:r>
    </w:p>
    <w:p w14:paraId="4AAD6110" w14:textId="74CDE5F0" w:rsidR="005D4811" w:rsidRPr="000B0A72" w:rsidRDefault="000B0A72" w:rsidP="0035746C">
      <w:pPr>
        <w:pStyle w:val="Observation"/>
      </w:pPr>
      <w:r>
        <w:t>The sTTI prioritization rules can be used to achieve UL intra-UE pre-emption.</w:t>
      </w:r>
    </w:p>
    <w:p w14:paraId="6E0168FD" w14:textId="655E2748" w:rsidR="00A4638D" w:rsidRDefault="00A4638D" w:rsidP="00A4638D">
      <w:pPr>
        <w:pStyle w:val="Heading2"/>
      </w:pPr>
      <w:r>
        <w:t xml:space="preserve">Enabling </w:t>
      </w:r>
      <w:r w:rsidR="00947B81">
        <w:t xml:space="preserve">of </w:t>
      </w:r>
      <w:r>
        <w:t>inter-UE UL pre-emption</w:t>
      </w:r>
    </w:p>
    <w:p w14:paraId="74E30DD8" w14:textId="566FD8FD" w:rsidR="00A4638D" w:rsidRDefault="005D4811" w:rsidP="00A4638D">
      <w:r>
        <w:t>In the inter-UE UL pre-emption scenario</w:t>
      </w:r>
      <w:r w:rsidR="009A5578">
        <w:t>,</w:t>
      </w:r>
      <w:r>
        <w:t xml:space="preserve"> two UEs are involved, making it more complex since the UEs do not perform sensing of whether the channel is free or not. However, we will see that at SR-based pre-emption can be supported with moderate impact.</w:t>
      </w:r>
    </w:p>
    <w:p w14:paraId="50739C99" w14:textId="77777777" w:rsidR="00947B81" w:rsidRDefault="00947B81" w:rsidP="00A4638D"/>
    <w:p w14:paraId="1494288D" w14:textId="77777777" w:rsidR="005D4811" w:rsidRDefault="005D4811" w:rsidP="005D4811">
      <w:r>
        <w:rPr>
          <w:u w:val="single"/>
        </w:rPr>
        <w:t xml:space="preserve">For transmission with </w:t>
      </w:r>
      <w:r w:rsidRPr="005D4811">
        <w:rPr>
          <w:u w:val="single"/>
        </w:rPr>
        <w:t>dynamic grant</w:t>
      </w:r>
      <w:r>
        <w:t>:</w:t>
      </w:r>
    </w:p>
    <w:p w14:paraId="5D93CFAF" w14:textId="746C37CF" w:rsidR="005D4811" w:rsidRDefault="005D4811" w:rsidP="00A4638D">
      <w:r>
        <w:t>In th</w:t>
      </w:r>
      <w:r w:rsidR="000B0A72">
        <w:t>is</w:t>
      </w:r>
      <w:r>
        <w:t xml:space="preserve"> case a UE1 sends SR for a </w:t>
      </w:r>
      <w:r w:rsidR="000B0A72">
        <w:t>sTTI</w:t>
      </w:r>
      <w:r w:rsidR="00654AA2">
        <w:t xml:space="preserve"> transmission and later receives an UL grant. Thus</w:t>
      </w:r>
      <w:r w:rsidR="00414CF9">
        <w:t>,</w:t>
      </w:r>
      <w:r w:rsidR="00654AA2">
        <w:t xml:space="preserve"> for the UE transmitting </w:t>
      </w:r>
      <w:r w:rsidR="000B0A72">
        <w:t>sTTI</w:t>
      </w:r>
      <w:r w:rsidR="00654AA2">
        <w:t xml:space="preserve"> </w:t>
      </w:r>
      <w:r w:rsidR="000B0A72">
        <w:t>with prioritized traffic there is</w:t>
      </w:r>
      <w:r w:rsidR="00654AA2">
        <w:t xml:space="preserve"> no special impact.</w:t>
      </w:r>
    </w:p>
    <w:p w14:paraId="55A3A2D7" w14:textId="42673861" w:rsidR="00654AA2" w:rsidRPr="00A4638D" w:rsidRDefault="00654AA2" w:rsidP="00654AA2">
      <w:r>
        <w:t xml:space="preserve">For the UE2 transmitting (or is about to transmit) UL data </w:t>
      </w:r>
      <w:r w:rsidR="000B0A72">
        <w:t xml:space="preserve">on the same resource </w:t>
      </w:r>
      <w:r>
        <w:t>the following mechanisms are required</w:t>
      </w:r>
      <w:r w:rsidR="000B0A72">
        <w:t xml:space="preserve"> to support pre-emption</w:t>
      </w:r>
      <w:r>
        <w:t>:</w:t>
      </w:r>
    </w:p>
    <w:p w14:paraId="456DE53F" w14:textId="7BA4E859" w:rsidR="0035746C" w:rsidRPr="00654AA2" w:rsidRDefault="00654AA2" w:rsidP="00E15ADA">
      <w:pPr>
        <w:pStyle w:val="BodyText"/>
        <w:numPr>
          <w:ilvl w:val="0"/>
          <w:numId w:val="11"/>
        </w:numPr>
      </w:pPr>
      <w:r>
        <w:lastRenderedPageBreak/>
        <w:t>A DL control message should be received</w:t>
      </w:r>
    </w:p>
    <w:p w14:paraId="00729E64" w14:textId="4B326BD6" w:rsidR="00654AA2" w:rsidRPr="00654AA2" w:rsidRDefault="00654AA2" w:rsidP="00E15ADA">
      <w:pPr>
        <w:pStyle w:val="BodyText"/>
        <w:numPr>
          <w:ilvl w:val="0"/>
          <w:numId w:val="11"/>
        </w:numPr>
      </w:pPr>
      <w:r>
        <w:t>The transmission should be interrupted.</w:t>
      </w:r>
    </w:p>
    <w:p w14:paraId="7588165B" w14:textId="77777777" w:rsidR="005F4567" w:rsidRDefault="00654AA2" w:rsidP="00654AA2">
      <w:pPr>
        <w:pStyle w:val="BodyText"/>
      </w:pPr>
      <w:r>
        <w:t xml:space="preserve">To perform the first task the UE2 is required to have sufficient </w:t>
      </w:r>
      <w:r w:rsidR="000B0A72">
        <w:t>DL control monitoring</w:t>
      </w:r>
      <w:r>
        <w:t xml:space="preserve"> configured so that DL control can be received. </w:t>
      </w:r>
      <w:r w:rsidR="000B0A72">
        <w:t xml:space="preserve">This means that if the UE2 only monitors PDCCH it can only be indicated at those occasions. In this case the use case for pre-emption indication is limited. But given that the time between scheduling and UL transmission is n+3 TTI at the lowest, there is a window of usefulness. If the BS can </w:t>
      </w:r>
      <w:r w:rsidR="005F4567">
        <w:t>indicate in n+1 or n+2 that the transmission should be cancelled or delayed, there is still a point in doing so.</w:t>
      </w:r>
    </w:p>
    <w:p w14:paraId="7EA98555" w14:textId="001D05C8" w:rsidR="005F4567" w:rsidRPr="000B0A72" w:rsidRDefault="005F4567" w:rsidP="005F4567">
      <w:pPr>
        <w:pStyle w:val="Observation"/>
      </w:pPr>
      <w:r>
        <w:t>For eMBB UEs monitoring PDCCH only a grant can be cancelled</w:t>
      </w:r>
      <w:r w:rsidR="00066CA9">
        <w:t xml:space="preserve"> or </w:t>
      </w:r>
      <w:r>
        <w:t>delayed in n+1 or n+2 after the original UL grant.</w:t>
      </w:r>
    </w:p>
    <w:p w14:paraId="4F52B554" w14:textId="4DE03DDD" w:rsidR="005F4567" w:rsidRDefault="005F4567" w:rsidP="00654AA2">
      <w:pPr>
        <w:pStyle w:val="BodyText"/>
      </w:pPr>
    </w:p>
    <w:p w14:paraId="2EB21463" w14:textId="380012D3" w:rsidR="005F4567" w:rsidRDefault="005F4567" w:rsidP="00654AA2">
      <w:pPr>
        <w:pStyle w:val="BodyText"/>
      </w:pPr>
      <w:r>
        <w:t>A better scenario is when the eMBB UE is also scheduled with sPDCCH. Then the UL grant for UE1 can be sent in the same sPDCCH occasion as a delay command to UE2.</w:t>
      </w:r>
    </w:p>
    <w:p w14:paraId="1B3E4AA4" w14:textId="6993F84D" w:rsidR="005F4567" w:rsidRPr="000B0A72" w:rsidRDefault="005F4567" w:rsidP="005F4567">
      <w:pPr>
        <w:pStyle w:val="Observation"/>
      </w:pPr>
      <w:r>
        <w:t xml:space="preserve">For eMBB UEs monitoring sPDCCH a grant can be </w:t>
      </w:r>
      <w:r w:rsidR="00066CA9">
        <w:t xml:space="preserve">cancelled or </w:t>
      </w:r>
      <w:r>
        <w:t>delayed in the same sPDCCH occasion as the prioritized UL grant is sent.</w:t>
      </w:r>
    </w:p>
    <w:p w14:paraId="14F544DD" w14:textId="4A977BCA" w:rsidR="005F4567" w:rsidRDefault="00066CA9" w:rsidP="00654AA2">
      <w:pPr>
        <w:pStyle w:val="BodyText"/>
      </w:pPr>
      <w:r>
        <w:t>The DL control to the eMBB UE can consist of a UL grant for the same HARQ process as the upcoming transmission. The interpretation is then to apply the standard n+3 or n+4 timing to the new grant, which effectively delays the transmission.</w:t>
      </w:r>
    </w:p>
    <w:p w14:paraId="23969133" w14:textId="73267C6C" w:rsidR="00066CA9" w:rsidRPr="000B0A72" w:rsidRDefault="00066CA9" w:rsidP="00066CA9">
      <w:pPr>
        <w:pStyle w:val="Observation"/>
      </w:pPr>
      <w:r>
        <w:t>A delay command can consist of transmitting a new UL grant for the same HARQ process.</w:t>
      </w:r>
    </w:p>
    <w:p w14:paraId="3074D305" w14:textId="77777777" w:rsidR="00066CA9" w:rsidRDefault="00066CA9" w:rsidP="00654AA2">
      <w:pPr>
        <w:pStyle w:val="BodyText"/>
      </w:pPr>
    </w:p>
    <w:p w14:paraId="6D3C26D6" w14:textId="05DF6C50" w:rsidR="00654AA2" w:rsidRDefault="00654AA2" w:rsidP="00654AA2">
      <w:pPr>
        <w:pStyle w:val="BodyText"/>
      </w:pPr>
      <w:r>
        <w:t xml:space="preserve">Thus, if the UE2 is not configured with an appropriate </w:t>
      </w:r>
      <w:r w:rsidR="00066CA9">
        <w:t>DL control monitoring</w:t>
      </w:r>
      <w:r>
        <w:t xml:space="preserve"> it is not eligible for UL pre-emption. The BS has the task of finding a suitable UE to re-schedule, or will otherwise not allow the pre-emption. It is therefore not so that all </w:t>
      </w:r>
      <w:r w:rsidR="00066CA9">
        <w:t>eMBB</w:t>
      </w:r>
      <w:r>
        <w:t xml:space="preserve"> UEs will need to monitor all </w:t>
      </w:r>
      <w:r w:rsidR="00066CA9">
        <w:t>sPDCCH, but it is a matter of scheduling.</w:t>
      </w:r>
    </w:p>
    <w:p w14:paraId="1BA74AF9" w14:textId="7E72CD11" w:rsidR="00654AA2" w:rsidRDefault="00654AA2" w:rsidP="009F30F7">
      <w:pPr>
        <w:pStyle w:val="Observation"/>
      </w:pPr>
      <w:bookmarkStart w:id="69" w:name="_Toc506581570"/>
      <w:bookmarkStart w:id="70" w:name="_Toc506582134"/>
      <w:r>
        <w:t xml:space="preserve">The monitoring of </w:t>
      </w:r>
      <w:r w:rsidR="00066CA9">
        <w:t>DL control</w:t>
      </w:r>
      <w:r>
        <w:t xml:space="preserve"> is a matter of scheduling.</w:t>
      </w:r>
      <w:bookmarkEnd w:id="69"/>
      <w:bookmarkEnd w:id="70"/>
    </w:p>
    <w:p w14:paraId="6780EE88" w14:textId="3946B340" w:rsidR="00947B81" w:rsidRDefault="00EF6C3B" w:rsidP="00654AA2">
      <w:pPr>
        <w:pStyle w:val="BodyText"/>
      </w:pPr>
      <w:r>
        <w:t xml:space="preserve">Obviously, no legacy UEs could be eligible for UL pre-emption. </w:t>
      </w:r>
    </w:p>
    <w:p w14:paraId="360421F8" w14:textId="104ED656" w:rsidR="00414CF9" w:rsidRDefault="00414CF9" w:rsidP="00414CF9">
      <w:pPr>
        <w:pStyle w:val="TOC1"/>
        <w:rPr>
          <w:b w:val="0"/>
          <w:u w:val="single"/>
        </w:rPr>
      </w:pPr>
      <w:r w:rsidRPr="00DA7816">
        <w:rPr>
          <w:b w:val="0"/>
          <w:u w:val="single"/>
        </w:rPr>
        <w:t xml:space="preserve">For </w:t>
      </w:r>
      <w:r>
        <w:rPr>
          <w:b w:val="0"/>
          <w:u w:val="single"/>
        </w:rPr>
        <w:t xml:space="preserve">transmission with </w:t>
      </w:r>
      <w:r w:rsidR="000B0A72">
        <w:rPr>
          <w:b w:val="0"/>
          <w:u w:val="single"/>
        </w:rPr>
        <w:t>SPS UL</w:t>
      </w:r>
      <w:r w:rsidRPr="00DA7816">
        <w:rPr>
          <w:b w:val="0"/>
          <w:u w:val="single"/>
        </w:rPr>
        <w:t>:</w:t>
      </w:r>
    </w:p>
    <w:p w14:paraId="345A7491" w14:textId="40ED0922" w:rsidR="00414CF9" w:rsidRDefault="00414CF9" w:rsidP="00414CF9">
      <w:pPr>
        <w:pStyle w:val="BodyText"/>
      </w:pPr>
      <w:r>
        <w:t>In the case UE1 in the example above has a</w:t>
      </w:r>
      <w:r w:rsidR="000B0A72">
        <w:t xml:space="preserve">n SPS </w:t>
      </w:r>
      <w:r>
        <w:t>grant it can transmit in UL without se</w:t>
      </w:r>
      <w:r w:rsidR="006F298F">
        <w:t>n</w:t>
      </w:r>
      <w:r>
        <w:t xml:space="preserve">ding SR first. If then another UE2 has been granted </w:t>
      </w:r>
      <w:r w:rsidR="000B0A72">
        <w:t>the same</w:t>
      </w:r>
      <w:r>
        <w:t xml:space="preserve"> resource, the BS has effectively scheduled for </w:t>
      </w:r>
      <w:r w:rsidR="00947B81">
        <w:t xml:space="preserve">UL </w:t>
      </w:r>
      <w:r>
        <w:t>MU-MIMO</w:t>
      </w:r>
      <w:r w:rsidR="00D86CD5">
        <w:t xml:space="preserve">. This is certainly possible, but no </w:t>
      </w:r>
      <w:r w:rsidR="00947B81">
        <w:t xml:space="preserve">scheduling </w:t>
      </w:r>
      <w:r w:rsidR="00D86CD5">
        <w:t>optimization should be introduced for this case.</w:t>
      </w:r>
    </w:p>
    <w:p w14:paraId="3DA932DA" w14:textId="28B0353B" w:rsidR="00D86CD5" w:rsidRPr="00D86CD5" w:rsidRDefault="00D86CD5" w:rsidP="009F30F7">
      <w:pPr>
        <w:pStyle w:val="Observation"/>
      </w:pPr>
      <w:bookmarkStart w:id="71" w:name="_Toc506581571"/>
      <w:bookmarkStart w:id="72" w:name="_Toc506582135"/>
      <w:r>
        <w:t xml:space="preserve">Inter-UE UL pre-emption with </w:t>
      </w:r>
      <w:r w:rsidR="000B0A72">
        <w:t>SPS</w:t>
      </w:r>
      <w:r>
        <w:t xml:space="preserve"> is effectively UL MU-MIMO.</w:t>
      </w:r>
      <w:bookmarkEnd w:id="71"/>
      <w:bookmarkEnd w:id="72"/>
    </w:p>
    <w:p w14:paraId="24008073" w14:textId="77777777" w:rsidR="0035746C" w:rsidRDefault="0035746C" w:rsidP="0035746C">
      <w:pPr>
        <w:pStyle w:val="Heading1"/>
      </w:pPr>
      <w:r w:rsidRPr="00CE0424">
        <w:t>Conclusion</w:t>
      </w:r>
    </w:p>
    <w:p w14:paraId="050CBCCA" w14:textId="705127C4" w:rsidR="00D1010F" w:rsidRDefault="00D1010F" w:rsidP="0035746C">
      <w:r>
        <w:t>We make the following observations:</w:t>
      </w:r>
    </w:p>
    <w:p w14:paraId="3B44E5EB" w14:textId="77777777" w:rsidR="00066CA9" w:rsidRPr="000B0A72" w:rsidRDefault="00066CA9" w:rsidP="00066CA9">
      <w:pPr>
        <w:pStyle w:val="Observation"/>
        <w:numPr>
          <w:ilvl w:val="0"/>
          <w:numId w:val="20"/>
        </w:numPr>
      </w:pPr>
      <w:bookmarkStart w:id="73" w:name="_Hlk506559604"/>
      <w:r>
        <w:t>The sTTI prioritization rules can be used to achieve UL intra-UE pre-emption.</w:t>
      </w:r>
    </w:p>
    <w:p w14:paraId="789422D1" w14:textId="77777777" w:rsidR="00066CA9" w:rsidRPr="000B0A72" w:rsidRDefault="00066CA9" w:rsidP="00066CA9">
      <w:pPr>
        <w:pStyle w:val="Observation"/>
      </w:pPr>
      <w:r>
        <w:t>For eMBB UEs monitoring PDCCH only a grant can be cancelled or delayed in n+1 or n+2 after the original UL grant.</w:t>
      </w:r>
    </w:p>
    <w:p w14:paraId="48D2A7EE" w14:textId="77777777" w:rsidR="00066CA9" w:rsidRPr="000B0A72" w:rsidRDefault="00066CA9" w:rsidP="00066CA9">
      <w:pPr>
        <w:pStyle w:val="Observation"/>
      </w:pPr>
      <w:r>
        <w:lastRenderedPageBreak/>
        <w:t>For eMBB UEs monitoring sPDCCH a grant can be cancelled or delayed in the same sPDCCH occasion as the prioritized UL grant is sent.</w:t>
      </w:r>
    </w:p>
    <w:p w14:paraId="7DF99872" w14:textId="77777777" w:rsidR="00066CA9" w:rsidRPr="000B0A72" w:rsidRDefault="00066CA9" w:rsidP="00066CA9">
      <w:pPr>
        <w:pStyle w:val="Observation"/>
      </w:pPr>
      <w:r>
        <w:t>A delay command can consist of transmitting a new UL grant for the same HARQ process.</w:t>
      </w:r>
    </w:p>
    <w:p w14:paraId="4552B5BB" w14:textId="77777777" w:rsidR="00066CA9" w:rsidRDefault="00066CA9" w:rsidP="00066CA9">
      <w:pPr>
        <w:pStyle w:val="Observation"/>
      </w:pPr>
      <w:r>
        <w:t>The monitoring of DL control is a matter of scheduling.</w:t>
      </w:r>
    </w:p>
    <w:p w14:paraId="2F0C7F50" w14:textId="77777777" w:rsidR="00066CA9" w:rsidRPr="00D86CD5" w:rsidRDefault="00066CA9" w:rsidP="00066CA9">
      <w:pPr>
        <w:pStyle w:val="Observation"/>
      </w:pPr>
      <w:r>
        <w:t>Inter-UE UL pre-emption with SPS is effectively UL MU-MIMO.</w:t>
      </w:r>
    </w:p>
    <w:p w14:paraId="77F65C09" w14:textId="77777777" w:rsidR="00066CA9" w:rsidRPr="00066CA9" w:rsidRDefault="00066CA9">
      <w:pPr>
        <w:pStyle w:val="TOC1"/>
        <w:rPr>
          <w:rFonts w:ascii="Calibri" w:eastAsia="DengXian" w:hAnsi="Calibri"/>
          <w:b w:val="0"/>
          <w:bCs/>
          <w:sz w:val="22"/>
        </w:rPr>
      </w:pPr>
    </w:p>
    <w:p w14:paraId="57B73A36" w14:textId="102E3F53" w:rsidR="00F507D1" w:rsidRDefault="00F507D1" w:rsidP="00CE0424">
      <w:pPr>
        <w:pStyle w:val="Heading1"/>
        <w:rPr>
          <w:lang w:val="en-US"/>
        </w:rPr>
      </w:pPr>
      <w:bookmarkStart w:id="74" w:name="_In-sequence_SDU_delivery"/>
      <w:bookmarkEnd w:id="73"/>
      <w:bookmarkEnd w:id="74"/>
      <w:r w:rsidRPr="00D13BC5">
        <w:rPr>
          <w:lang w:val="en-US"/>
        </w:rPr>
        <w:t>References</w:t>
      </w:r>
    </w:p>
    <w:p w14:paraId="3618435D" w14:textId="59218EDF" w:rsidR="00221CBF" w:rsidRPr="000A786F" w:rsidRDefault="000D7EC4" w:rsidP="000A786F">
      <w:pPr>
        <w:pStyle w:val="Reference"/>
      </w:pPr>
      <w:bookmarkStart w:id="75" w:name="_Ref473934775"/>
      <w:bookmarkStart w:id="76" w:name="_Ref481744756"/>
      <w:r w:rsidRPr="000D7EC4">
        <w:t>Chairman’s Notes, 3GPP TSG RAN WG1 Meeting#8</w:t>
      </w:r>
      <w:bookmarkEnd w:id="75"/>
      <w:bookmarkEnd w:id="76"/>
      <w:r w:rsidRPr="000D7EC4">
        <w:t>9</w:t>
      </w:r>
    </w:p>
    <w:sectPr w:rsidR="00221CBF" w:rsidRPr="000A786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8B9A4" w14:textId="77777777" w:rsidR="0076767C" w:rsidRDefault="0076767C">
      <w:r>
        <w:separator/>
      </w:r>
    </w:p>
  </w:endnote>
  <w:endnote w:type="continuationSeparator" w:id="0">
    <w:p w14:paraId="3F00966D" w14:textId="77777777" w:rsidR="0076767C" w:rsidRDefault="00767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AB96B" w14:textId="77777777" w:rsidR="0076767C" w:rsidRDefault="0076767C">
      <w:r>
        <w:separator/>
      </w:r>
    </w:p>
  </w:footnote>
  <w:footnote w:type="continuationSeparator" w:id="0">
    <w:p w14:paraId="2DD9B839" w14:textId="77777777" w:rsidR="0076767C" w:rsidRDefault="007676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8413A"/>
    <w:multiLevelType w:val="hybridMultilevel"/>
    <w:tmpl w:val="E78467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6300AB"/>
    <w:multiLevelType w:val="hybridMultilevel"/>
    <w:tmpl w:val="BEB0F2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CD5FE3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515AE"/>
    <w:multiLevelType w:val="hybridMultilevel"/>
    <w:tmpl w:val="8EFCFB8E"/>
    <w:lvl w:ilvl="0" w:tplc="F396499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4"/>
  </w:num>
  <w:num w:numId="8">
    <w:abstractNumId w:val="6"/>
  </w:num>
  <w:num w:numId="9">
    <w:abstractNumId w:val="13"/>
  </w:num>
  <w:num w:numId="10">
    <w:abstractNumId w:val="7"/>
  </w:num>
  <w:num w:numId="11">
    <w:abstractNumId w:val="11"/>
  </w:num>
  <w:num w:numId="12">
    <w:abstractNumId w:val="4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13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075F"/>
    <w:rsid w:val="00002A37"/>
    <w:rsid w:val="00006446"/>
    <w:rsid w:val="00006896"/>
    <w:rsid w:val="00007CDC"/>
    <w:rsid w:val="00011B28"/>
    <w:rsid w:val="00015D15"/>
    <w:rsid w:val="0002531D"/>
    <w:rsid w:val="0002564D"/>
    <w:rsid w:val="00025ECA"/>
    <w:rsid w:val="000325B8"/>
    <w:rsid w:val="00034C15"/>
    <w:rsid w:val="00036BA1"/>
    <w:rsid w:val="000422E2"/>
    <w:rsid w:val="00042C07"/>
    <w:rsid w:val="00042F22"/>
    <w:rsid w:val="000444EF"/>
    <w:rsid w:val="00047CB6"/>
    <w:rsid w:val="00050951"/>
    <w:rsid w:val="00052A07"/>
    <w:rsid w:val="000534E3"/>
    <w:rsid w:val="0005606A"/>
    <w:rsid w:val="00057117"/>
    <w:rsid w:val="000616E7"/>
    <w:rsid w:val="0006487E"/>
    <w:rsid w:val="00065E1A"/>
    <w:rsid w:val="00066CA9"/>
    <w:rsid w:val="00077E5F"/>
    <w:rsid w:val="0008036A"/>
    <w:rsid w:val="00081AE6"/>
    <w:rsid w:val="000855EB"/>
    <w:rsid w:val="00085B52"/>
    <w:rsid w:val="000866F2"/>
    <w:rsid w:val="0009009F"/>
    <w:rsid w:val="0009031B"/>
    <w:rsid w:val="00091557"/>
    <w:rsid w:val="000924C1"/>
    <w:rsid w:val="000924F0"/>
    <w:rsid w:val="00093474"/>
    <w:rsid w:val="0009510F"/>
    <w:rsid w:val="000A1B7B"/>
    <w:rsid w:val="000A262F"/>
    <w:rsid w:val="000A56F2"/>
    <w:rsid w:val="000A786F"/>
    <w:rsid w:val="000B0A72"/>
    <w:rsid w:val="000B2719"/>
    <w:rsid w:val="000B3A8F"/>
    <w:rsid w:val="000B3F04"/>
    <w:rsid w:val="000B4AB9"/>
    <w:rsid w:val="000B58C3"/>
    <w:rsid w:val="000B61E9"/>
    <w:rsid w:val="000C165A"/>
    <w:rsid w:val="000C27FD"/>
    <w:rsid w:val="000C2E19"/>
    <w:rsid w:val="000D0D07"/>
    <w:rsid w:val="000D4797"/>
    <w:rsid w:val="000D7EC4"/>
    <w:rsid w:val="000E0527"/>
    <w:rsid w:val="000E1E92"/>
    <w:rsid w:val="000E474B"/>
    <w:rsid w:val="000F06D6"/>
    <w:rsid w:val="000F0EB1"/>
    <w:rsid w:val="000F0F1F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4BD"/>
    <w:rsid w:val="00115643"/>
    <w:rsid w:val="00115C22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596"/>
    <w:rsid w:val="00150FF5"/>
    <w:rsid w:val="00151E23"/>
    <w:rsid w:val="001521A7"/>
    <w:rsid w:val="001526E0"/>
    <w:rsid w:val="001551B5"/>
    <w:rsid w:val="00163A2A"/>
    <w:rsid w:val="001659C1"/>
    <w:rsid w:val="00173A8E"/>
    <w:rsid w:val="00174C43"/>
    <w:rsid w:val="00177795"/>
    <w:rsid w:val="0018143F"/>
    <w:rsid w:val="00186D76"/>
    <w:rsid w:val="00190AC1"/>
    <w:rsid w:val="0019341A"/>
    <w:rsid w:val="00196856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019B"/>
    <w:rsid w:val="001D255C"/>
    <w:rsid w:val="001D51BA"/>
    <w:rsid w:val="001D6342"/>
    <w:rsid w:val="001D6D53"/>
    <w:rsid w:val="001E58E2"/>
    <w:rsid w:val="001E7AED"/>
    <w:rsid w:val="001F3916"/>
    <w:rsid w:val="001F54C5"/>
    <w:rsid w:val="001F62D5"/>
    <w:rsid w:val="001F662C"/>
    <w:rsid w:val="001F7074"/>
    <w:rsid w:val="00200490"/>
    <w:rsid w:val="00201F3A"/>
    <w:rsid w:val="00203F96"/>
    <w:rsid w:val="002069B2"/>
    <w:rsid w:val="00207FA3"/>
    <w:rsid w:val="00211B13"/>
    <w:rsid w:val="0021311C"/>
    <w:rsid w:val="00213A13"/>
    <w:rsid w:val="00214DA8"/>
    <w:rsid w:val="00215423"/>
    <w:rsid w:val="002158FA"/>
    <w:rsid w:val="00217670"/>
    <w:rsid w:val="002204D0"/>
    <w:rsid w:val="00220600"/>
    <w:rsid w:val="002207DA"/>
    <w:rsid w:val="00221CBF"/>
    <w:rsid w:val="002224DB"/>
    <w:rsid w:val="00223FCB"/>
    <w:rsid w:val="002252C3"/>
    <w:rsid w:val="00225C54"/>
    <w:rsid w:val="00226F72"/>
    <w:rsid w:val="00230765"/>
    <w:rsid w:val="002319E4"/>
    <w:rsid w:val="00233E41"/>
    <w:rsid w:val="00235632"/>
    <w:rsid w:val="00235872"/>
    <w:rsid w:val="00235878"/>
    <w:rsid w:val="00241559"/>
    <w:rsid w:val="002435B3"/>
    <w:rsid w:val="002458EB"/>
    <w:rsid w:val="002500C8"/>
    <w:rsid w:val="00251F5E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4097"/>
    <w:rsid w:val="002805F5"/>
    <w:rsid w:val="00280751"/>
    <w:rsid w:val="002821C2"/>
    <w:rsid w:val="0028280A"/>
    <w:rsid w:val="00286ACD"/>
    <w:rsid w:val="00287838"/>
    <w:rsid w:val="002907B5"/>
    <w:rsid w:val="00292EB7"/>
    <w:rsid w:val="00296227"/>
    <w:rsid w:val="00296F44"/>
    <w:rsid w:val="002972F4"/>
    <w:rsid w:val="0029777D"/>
    <w:rsid w:val="002A055E"/>
    <w:rsid w:val="002A1D4E"/>
    <w:rsid w:val="002A2869"/>
    <w:rsid w:val="002B24D6"/>
    <w:rsid w:val="002B335C"/>
    <w:rsid w:val="002B6A95"/>
    <w:rsid w:val="002C41E6"/>
    <w:rsid w:val="002C5BA4"/>
    <w:rsid w:val="002D071A"/>
    <w:rsid w:val="002D34B2"/>
    <w:rsid w:val="002D7637"/>
    <w:rsid w:val="002E043D"/>
    <w:rsid w:val="002E17F2"/>
    <w:rsid w:val="002E2B4A"/>
    <w:rsid w:val="002E685A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8FA"/>
    <w:rsid w:val="00343A07"/>
    <w:rsid w:val="00346D30"/>
    <w:rsid w:val="00346DB5"/>
    <w:rsid w:val="003477B1"/>
    <w:rsid w:val="00352421"/>
    <w:rsid w:val="00357380"/>
    <w:rsid w:val="0035746C"/>
    <w:rsid w:val="003602D9"/>
    <w:rsid w:val="003604CE"/>
    <w:rsid w:val="00360828"/>
    <w:rsid w:val="00362DDE"/>
    <w:rsid w:val="003707D2"/>
    <w:rsid w:val="00370E47"/>
    <w:rsid w:val="003742AC"/>
    <w:rsid w:val="00375421"/>
    <w:rsid w:val="00376C6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118"/>
    <w:rsid w:val="003B7FE5"/>
    <w:rsid w:val="003C11C8"/>
    <w:rsid w:val="003C217D"/>
    <w:rsid w:val="003C26DB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3C1"/>
    <w:rsid w:val="00413AAC"/>
    <w:rsid w:val="00414CF9"/>
    <w:rsid w:val="00416184"/>
    <w:rsid w:val="00421105"/>
    <w:rsid w:val="004242F4"/>
    <w:rsid w:val="00427248"/>
    <w:rsid w:val="00431AF0"/>
    <w:rsid w:val="0043372F"/>
    <w:rsid w:val="00437447"/>
    <w:rsid w:val="00441A92"/>
    <w:rsid w:val="00444F56"/>
    <w:rsid w:val="00446488"/>
    <w:rsid w:val="004508A0"/>
    <w:rsid w:val="00451465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0757"/>
    <w:rsid w:val="00492BC5"/>
    <w:rsid w:val="004964F1"/>
    <w:rsid w:val="004A16BC"/>
    <w:rsid w:val="004A2B94"/>
    <w:rsid w:val="004B7C0C"/>
    <w:rsid w:val="004C3898"/>
    <w:rsid w:val="004D1BCA"/>
    <w:rsid w:val="004D36B1"/>
    <w:rsid w:val="004D7EBD"/>
    <w:rsid w:val="004E2680"/>
    <w:rsid w:val="004E28F9"/>
    <w:rsid w:val="004E462E"/>
    <w:rsid w:val="004E4813"/>
    <w:rsid w:val="004E56DC"/>
    <w:rsid w:val="004E76F4"/>
    <w:rsid w:val="004F0445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54B1"/>
    <w:rsid w:val="005219CF"/>
    <w:rsid w:val="00534B59"/>
    <w:rsid w:val="00536759"/>
    <w:rsid w:val="00537C62"/>
    <w:rsid w:val="00546970"/>
    <w:rsid w:val="00547DF0"/>
    <w:rsid w:val="00547F4D"/>
    <w:rsid w:val="00550011"/>
    <w:rsid w:val="00550419"/>
    <w:rsid w:val="00554E19"/>
    <w:rsid w:val="0056121F"/>
    <w:rsid w:val="00571CAF"/>
    <w:rsid w:val="00572505"/>
    <w:rsid w:val="00582809"/>
    <w:rsid w:val="0058335A"/>
    <w:rsid w:val="0058798C"/>
    <w:rsid w:val="005900FA"/>
    <w:rsid w:val="005935A4"/>
    <w:rsid w:val="005948C2"/>
    <w:rsid w:val="00595DCA"/>
    <w:rsid w:val="0059779B"/>
    <w:rsid w:val="005A209A"/>
    <w:rsid w:val="005A6262"/>
    <w:rsid w:val="005A662D"/>
    <w:rsid w:val="005B35D7"/>
    <w:rsid w:val="005B392A"/>
    <w:rsid w:val="005B3AA3"/>
    <w:rsid w:val="005B6F83"/>
    <w:rsid w:val="005C3D26"/>
    <w:rsid w:val="005C5F58"/>
    <w:rsid w:val="005C74FB"/>
    <w:rsid w:val="005D1602"/>
    <w:rsid w:val="005D1DE7"/>
    <w:rsid w:val="005D4811"/>
    <w:rsid w:val="005E385F"/>
    <w:rsid w:val="005E3C36"/>
    <w:rsid w:val="005E4018"/>
    <w:rsid w:val="005E5B81"/>
    <w:rsid w:val="005F2CB1"/>
    <w:rsid w:val="005F3025"/>
    <w:rsid w:val="005F4567"/>
    <w:rsid w:val="005F618C"/>
    <w:rsid w:val="005F70BD"/>
    <w:rsid w:val="0060283C"/>
    <w:rsid w:val="0060397D"/>
    <w:rsid w:val="00604F14"/>
    <w:rsid w:val="00611B83"/>
    <w:rsid w:val="00613257"/>
    <w:rsid w:val="00620A71"/>
    <w:rsid w:val="00620D80"/>
    <w:rsid w:val="0062103F"/>
    <w:rsid w:val="006212A9"/>
    <w:rsid w:val="006234A6"/>
    <w:rsid w:val="00626DD2"/>
    <w:rsid w:val="00630001"/>
    <w:rsid w:val="006311B3"/>
    <w:rsid w:val="006327DA"/>
    <w:rsid w:val="0063284C"/>
    <w:rsid w:val="00636398"/>
    <w:rsid w:val="006368D3"/>
    <w:rsid w:val="006377EC"/>
    <w:rsid w:val="00637F88"/>
    <w:rsid w:val="0064151F"/>
    <w:rsid w:val="00641533"/>
    <w:rsid w:val="00641976"/>
    <w:rsid w:val="0064208D"/>
    <w:rsid w:val="00643475"/>
    <w:rsid w:val="00643771"/>
    <w:rsid w:val="0064396A"/>
    <w:rsid w:val="0064624E"/>
    <w:rsid w:val="00650AB9"/>
    <w:rsid w:val="006521E1"/>
    <w:rsid w:val="0065434D"/>
    <w:rsid w:val="00654AA2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4D9A"/>
    <w:rsid w:val="00675C72"/>
    <w:rsid w:val="006771F9"/>
    <w:rsid w:val="006776D7"/>
    <w:rsid w:val="00681003"/>
    <w:rsid w:val="006816F7"/>
    <w:rsid w:val="006817C9"/>
    <w:rsid w:val="00683ECE"/>
    <w:rsid w:val="0068441C"/>
    <w:rsid w:val="0068756A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33EE"/>
    <w:rsid w:val="006D5ECD"/>
    <w:rsid w:val="006D6F08"/>
    <w:rsid w:val="006E062C"/>
    <w:rsid w:val="006E28B7"/>
    <w:rsid w:val="006E293F"/>
    <w:rsid w:val="006E3310"/>
    <w:rsid w:val="006E4E39"/>
    <w:rsid w:val="006E565E"/>
    <w:rsid w:val="006E673D"/>
    <w:rsid w:val="006E7D3B"/>
    <w:rsid w:val="006F1B70"/>
    <w:rsid w:val="006F298F"/>
    <w:rsid w:val="006F341D"/>
    <w:rsid w:val="006F3CDE"/>
    <w:rsid w:val="006F58D4"/>
    <w:rsid w:val="006F68EE"/>
    <w:rsid w:val="0070346E"/>
    <w:rsid w:val="00704B82"/>
    <w:rsid w:val="00704EDB"/>
    <w:rsid w:val="00706101"/>
    <w:rsid w:val="007061D7"/>
    <w:rsid w:val="00706563"/>
    <w:rsid w:val="00707072"/>
    <w:rsid w:val="00707D61"/>
    <w:rsid w:val="00712287"/>
    <w:rsid w:val="00712772"/>
    <w:rsid w:val="007148D3"/>
    <w:rsid w:val="00715B9A"/>
    <w:rsid w:val="00722281"/>
    <w:rsid w:val="00725822"/>
    <w:rsid w:val="00726EA6"/>
    <w:rsid w:val="00727208"/>
    <w:rsid w:val="00727680"/>
    <w:rsid w:val="00732461"/>
    <w:rsid w:val="00733D4B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67C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4162"/>
    <w:rsid w:val="00795C92"/>
    <w:rsid w:val="00796231"/>
    <w:rsid w:val="00797B44"/>
    <w:rsid w:val="007A1CB3"/>
    <w:rsid w:val="007A306F"/>
    <w:rsid w:val="007A43A6"/>
    <w:rsid w:val="007A58A6"/>
    <w:rsid w:val="007B3D2D"/>
    <w:rsid w:val="007B50AE"/>
    <w:rsid w:val="007B51DF"/>
    <w:rsid w:val="007B78FE"/>
    <w:rsid w:val="007C05DD"/>
    <w:rsid w:val="007C3D18"/>
    <w:rsid w:val="007C60BF"/>
    <w:rsid w:val="007C6A07"/>
    <w:rsid w:val="007C75A1"/>
    <w:rsid w:val="007C77A5"/>
    <w:rsid w:val="007D04E5"/>
    <w:rsid w:val="007D13F7"/>
    <w:rsid w:val="007D4D53"/>
    <w:rsid w:val="007D5901"/>
    <w:rsid w:val="007D7526"/>
    <w:rsid w:val="007E26DB"/>
    <w:rsid w:val="007E4610"/>
    <w:rsid w:val="007E4715"/>
    <w:rsid w:val="007E505B"/>
    <w:rsid w:val="007E5FE4"/>
    <w:rsid w:val="007E7091"/>
    <w:rsid w:val="0080014E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17"/>
    <w:rsid w:val="00827D6F"/>
    <w:rsid w:val="008376AC"/>
    <w:rsid w:val="00842499"/>
    <w:rsid w:val="008444E8"/>
    <w:rsid w:val="00844E80"/>
    <w:rsid w:val="00845DCA"/>
    <w:rsid w:val="00846505"/>
    <w:rsid w:val="00846FE7"/>
    <w:rsid w:val="00852006"/>
    <w:rsid w:val="008565AD"/>
    <w:rsid w:val="00856911"/>
    <w:rsid w:val="008651E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6B70"/>
    <w:rsid w:val="00877F18"/>
    <w:rsid w:val="00894A88"/>
    <w:rsid w:val="00895386"/>
    <w:rsid w:val="00897E65"/>
    <w:rsid w:val="008A21FF"/>
    <w:rsid w:val="008A2CE2"/>
    <w:rsid w:val="008A30AC"/>
    <w:rsid w:val="008A44B8"/>
    <w:rsid w:val="008A4CB1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957"/>
    <w:rsid w:val="008C4562"/>
    <w:rsid w:val="008C4958"/>
    <w:rsid w:val="008C4BAA"/>
    <w:rsid w:val="008C6AE8"/>
    <w:rsid w:val="008C7573"/>
    <w:rsid w:val="008D34F1"/>
    <w:rsid w:val="008D39D8"/>
    <w:rsid w:val="008D411B"/>
    <w:rsid w:val="008D6D1A"/>
    <w:rsid w:val="008E065E"/>
    <w:rsid w:val="008E0927"/>
    <w:rsid w:val="008E1909"/>
    <w:rsid w:val="008F1EAB"/>
    <w:rsid w:val="008F33DC"/>
    <w:rsid w:val="008F477F"/>
    <w:rsid w:val="008F47B9"/>
    <w:rsid w:val="00902350"/>
    <w:rsid w:val="0090336B"/>
    <w:rsid w:val="009053AA"/>
    <w:rsid w:val="00906939"/>
    <w:rsid w:val="00906C3F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477F"/>
    <w:rsid w:val="00945C05"/>
    <w:rsid w:val="00946945"/>
    <w:rsid w:val="00947713"/>
    <w:rsid w:val="00947B81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09D"/>
    <w:rsid w:val="0097603D"/>
    <w:rsid w:val="00976949"/>
    <w:rsid w:val="00980477"/>
    <w:rsid w:val="00985253"/>
    <w:rsid w:val="009853B3"/>
    <w:rsid w:val="00990630"/>
    <w:rsid w:val="00991761"/>
    <w:rsid w:val="00993F82"/>
    <w:rsid w:val="00994DCA"/>
    <w:rsid w:val="009960EC"/>
    <w:rsid w:val="009970DD"/>
    <w:rsid w:val="009A0FBA"/>
    <w:rsid w:val="009A1601"/>
    <w:rsid w:val="009A462D"/>
    <w:rsid w:val="009A5578"/>
    <w:rsid w:val="009A5CBA"/>
    <w:rsid w:val="009A6BF0"/>
    <w:rsid w:val="009A7961"/>
    <w:rsid w:val="009B1A4F"/>
    <w:rsid w:val="009B1F30"/>
    <w:rsid w:val="009B3AC2"/>
    <w:rsid w:val="009B4DF4"/>
    <w:rsid w:val="009B564E"/>
    <w:rsid w:val="009B64E5"/>
    <w:rsid w:val="009B7E87"/>
    <w:rsid w:val="009C2804"/>
    <w:rsid w:val="009C403E"/>
    <w:rsid w:val="009D4FF0"/>
    <w:rsid w:val="009D703C"/>
    <w:rsid w:val="009D718F"/>
    <w:rsid w:val="009E068F"/>
    <w:rsid w:val="009E14E0"/>
    <w:rsid w:val="009E24FC"/>
    <w:rsid w:val="009E35DB"/>
    <w:rsid w:val="009E47A3"/>
    <w:rsid w:val="009E60EC"/>
    <w:rsid w:val="009F08F3"/>
    <w:rsid w:val="009F30F7"/>
    <w:rsid w:val="009F344F"/>
    <w:rsid w:val="009F5F57"/>
    <w:rsid w:val="00A048A8"/>
    <w:rsid w:val="00A04F49"/>
    <w:rsid w:val="00A13E54"/>
    <w:rsid w:val="00A17F63"/>
    <w:rsid w:val="00A20554"/>
    <w:rsid w:val="00A2193B"/>
    <w:rsid w:val="00A2351A"/>
    <w:rsid w:val="00A264A9"/>
    <w:rsid w:val="00A27785"/>
    <w:rsid w:val="00A30187"/>
    <w:rsid w:val="00A3448A"/>
    <w:rsid w:val="00A35A76"/>
    <w:rsid w:val="00A35FFA"/>
    <w:rsid w:val="00A36297"/>
    <w:rsid w:val="00A37C37"/>
    <w:rsid w:val="00A41E2B"/>
    <w:rsid w:val="00A45B74"/>
    <w:rsid w:val="00A4638D"/>
    <w:rsid w:val="00A52B67"/>
    <w:rsid w:val="00A52E1D"/>
    <w:rsid w:val="00A61499"/>
    <w:rsid w:val="00A62A77"/>
    <w:rsid w:val="00A63483"/>
    <w:rsid w:val="00A657D7"/>
    <w:rsid w:val="00A660AC"/>
    <w:rsid w:val="00A67811"/>
    <w:rsid w:val="00A67E6C"/>
    <w:rsid w:val="00A71B99"/>
    <w:rsid w:val="00A739D0"/>
    <w:rsid w:val="00A761D4"/>
    <w:rsid w:val="00A772E6"/>
    <w:rsid w:val="00A77EC4"/>
    <w:rsid w:val="00A86BE9"/>
    <w:rsid w:val="00A86C38"/>
    <w:rsid w:val="00A92879"/>
    <w:rsid w:val="00A9442A"/>
    <w:rsid w:val="00AA016F"/>
    <w:rsid w:val="00AA1ED6"/>
    <w:rsid w:val="00AA51D6"/>
    <w:rsid w:val="00AB0BC8"/>
    <w:rsid w:val="00AB11CA"/>
    <w:rsid w:val="00AB14D9"/>
    <w:rsid w:val="00AB2203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2834"/>
    <w:rsid w:val="00AE40E0"/>
    <w:rsid w:val="00AE4DBA"/>
    <w:rsid w:val="00AE4F07"/>
    <w:rsid w:val="00AE6F3A"/>
    <w:rsid w:val="00AF1C5D"/>
    <w:rsid w:val="00AF33C4"/>
    <w:rsid w:val="00AF42D7"/>
    <w:rsid w:val="00AF4BAC"/>
    <w:rsid w:val="00B006FE"/>
    <w:rsid w:val="00B007CB"/>
    <w:rsid w:val="00B02AA9"/>
    <w:rsid w:val="00B02FA3"/>
    <w:rsid w:val="00B05084"/>
    <w:rsid w:val="00B157F9"/>
    <w:rsid w:val="00B1613F"/>
    <w:rsid w:val="00B20256"/>
    <w:rsid w:val="00B20D09"/>
    <w:rsid w:val="00B2763F"/>
    <w:rsid w:val="00B27AAC"/>
    <w:rsid w:val="00B304F3"/>
    <w:rsid w:val="00B30929"/>
    <w:rsid w:val="00B34CC1"/>
    <w:rsid w:val="00B372AA"/>
    <w:rsid w:val="00B40445"/>
    <w:rsid w:val="00B40BEF"/>
    <w:rsid w:val="00B41888"/>
    <w:rsid w:val="00B45A52"/>
    <w:rsid w:val="00B46175"/>
    <w:rsid w:val="00B52BA1"/>
    <w:rsid w:val="00B6188F"/>
    <w:rsid w:val="00B664C7"/>
    <w:rsid w:val="00B7198C"/>
    <w:rsid w:val="00B739F6"/>
    <w:rsid w:val="00B81A6C"/>
    <w:rsid w:val="00B835AD"/>
    <w:rsid w:val="00B85DE5"/>
    <w:rsid w:val="00B90F73"/>
    <w:rsid w:val="00B93B59"/>
    <w:rsid w:val="00B9406A"/>
    <w:rsid w:val="00B94EFF"/>
    <w:rsid w:val="00B97752"/>
    <w:rsid w:val="00BA2280"/>
    <w:rsid w:val="00BA2A08"/>
    <w:rsid w:val="00BA2CD3"/>
    <w:rsid w:val="00BA56D2"/>
    <w:rsid w:val="00BA76E0"/>
    <w:rsid w:val="00BB2A25"/>
    <w:rsid w:val="00BB51E9"/>
    <w:rsid w:val="00BB7181"/>
    <w:rsid w:val="00BC0FDC"/>
    <w:rsid w:val="00BC3053"/>
    <w:rsid w:val="00BC4D2E"/>
    <w:rsid w:val="00BD2878"/>
    <w:rsid w:val="00BD48AC"/>
    <w:rsid w:val="00BD5F1A"/>
    <w:rsid w:val="00BE1234"/>
    <w:rsid w:val="00BE2FA6"/>
    <w:rsid w:val="00BE333F"/>
    <w:rsid w:val="00BE3E73"/>
    <w:rsid w:val="00BE5AFC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079B0"/>
    <w:rsid w:val="00C10478"/>
    <w:rsid w:val="00C12107"/>
    <w:rsid w:val="00C14D4B"/>
    <w:rsid w:val="00C154BB"/>
    <w:rsid w:val="00C20977"/>
    <w:rsid w:val="00C279B5"/>
    <w:rsid w:val="00C27C45"/>
    <w:rsid w:val="00C302DC"/>
    <w:rsid w:val="00C3719D"/>
    <w:rsid w:val="00C52957"/>
    <w:rsid w:val="00C54995"/>
    <w:rsid w:val="00C54D41"/>
    <w:rsid w:val="00C57818"/>
    <w:rsid w:val="00C60783"/>
    <w:rsid w:val="00C64672"/>
    <w:rsid w:val="00C654D6"/>
    <w:rsid w:val="00C70697"/>
    <w:rsid w:val="00C72EF4"/>
    <w:rsid w:val="00C73E87"/>
    <w:rsid w:val="00C75D2F"/>
    <w:rsid w:val="00C767BE"/>
    <w:rsid w:val="00C76E3C"/>
    <w:rsid w:val="00C81568"/>
    <w:rsid w:val="00C855E0"/>
    <w:rsid w:val="00C9027A"/>
    <w:rsid w:val="00C9068E"/>
    <w:rsid w:val="00C93C4B"/>
    <w:rsid w:val="00C93FF8"/>
    <w:rsid w:val="00C944AB"/>
    <w:rsid w:val="00C95B40"/>
    <w:rsid w:val="00C9749F"/>
    <w:rsid w:val="00C9762F"/>
    <w:rsid w:val="00CA1ED8"/>
    <w:rsid w:val="00CB1F63"/>
    <w:rsid w:val="00CB4E0B"/>
    <w:rsid w:val="00CB7170"/>
    <w:rsid w:val="00CB7D95"/>
    <w:rsid w:val="00CC040E"/>
    <w:rsid w:val="00CC111F"/>
    <w:rsid w:val="00CC2011"/>
    <w:rsid w:val="00CC3EA0"/>
    <w:rsid w:val="00CC7B45"/>
    <w:rsid w:val="00CD1188"/>
    <w:rsid w:val="00CD2ED1"/>
    <w:rsid w:val="00CD337B"/>
    <w:rsid w:val="00CD6F68"/>
    <w:rsid w:val="00CE0424"/>
    <w:rsid w:val="00CE36E3"/>
    <w:rsid w:val="00CE7561"/>
    <w:rsid w:val="00CF1354"/>
    <w:rsid w:val="00CF3B1F"/>
    <w:rsid w:val="00CF3BF6"/>
    <w:rsid w:val="00CF625B"/>
    <w:rsid w:val="00CF687E"/>
    <w:rsid w:val="00D0209A"/>
    <w:rsid w:val="00D0349B"/>
    <w:rsid w:val="00D06E78"/>
    <w:rsid w:val="00D1010F"/>
    <w:rsid w:val="00D10249"/>
    <w:rsid w:val="00D10379"/>
    <w:rsid w:val="00D115C3"/>
    <w:rsid w:val="00D11897"/>
    <w:rsid w:val="00D13135"/>
    <w:rsid w:val="00D13BC5"/>
    <w:rsid w:val="00D13E4E"/>
    <w:rsid w:val="00D15511"/>
    <w:rsid w:val="00D21F5F"/>
    <w:rsid w:val="00D239A7"/>
    <w:rsid w:val="00D23F47"/>
    <w:rsid w:val="00D27862"/>
    <w:rsid w:val="00D3019D"/>
    <w:rsid w:val="00D36E71"/>
    <w:rsid w:val="00D37D87"/>
    <w:rsid w:val="00D40B33"/>
    <w:rsid w:val="00D4318F"/>
    <w:rsid w:val="00D438BF"/>
    <w:rsid w:val="00D440F8"/>
    <w:rsid w:val="00D50F97"/>
    <w:rsid w:val="00D532CB"/>
    <w:rsid w:val="00D538F4"/>
    <w:rsid w:val="00D546FF"/>
    <w:rsid w:val="00D55AD5"/>
    <w:rsid w:val="00D576CA"/>
    <w:rsid w:val="00D61AF5"/>
    <w:rsid w:val="00D652B5"/>
    <w:rsid w:val="00D66155"/>
    <w:rsid w:val="00D670FB"/>
    <w:rsid w:val="00D708B0"/>
    <w:rsid w:val="00D77B1D"/>
    <w:rsid w:val="00D77E33"/>
    <w:rsid w:val="00D8021F"/>
    <w:rsid w:val="00D80383"/>
    <w:rsid w:val="00D80D28"/>
    <w:rsid w:val="00D823C6"/>
    <w:rsid w:val="00D86CA3"/>
    <w:rsid w:val="00D86CD5"/>
    <w:rsid w:val="00D871CE"/>
    <w:rsid w:val="00D9196D"/>
    <w:rsid w:val="00D92982"/>
    <w:rsid w:val="00D9772C"/>
    <w:rsid w:val="00DA2C7B"/>
    <w:rsid w:val="00DA305E"/>
    <w:rsid w:val="00DA5417"/>
    <w:rsid w:val="00DA56E8"/>
    <w:rsid w:val="00DB0A9F"/>
    <w:rsid w:val="00DB377D"/>
    <w:rsid w:val="00DC2D36"/>
    <w:rsid w:val="00DC53EF"/>
    <w:rsid w:val="00DE1D90"/>
    <w:rsid w:val="00DE402A"/>
    <w:rsid w:val="00DE5608"/>
    <w:rsid w:val="00DE58D0"/>
    <w:rsid w:val="00DE654F"/>
    <w:rsid w:val="00DF0691"/>
    <w:rsid w:val="00DF06C1"/>
    <w:rsid w:val="00DF0B6E"/>
    <w:rsid w:val="00DF15E0"/>
    <w:rsid w:val="00DF37A0"/>
    <w:rsid w:val="00DF71A0"/>
    <w:rsid w:val="00DF7ECA"/>
    <w:rsid w:val="00E110E7"/>
    <w:rsid w:val="00E11B20"/>
    <w:rsid w:val="00E14D9A"/>
    <w:rsid w:val="00E15AD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19E"/>
    <w:rsid w:val="00E446F1"/>
    <w:rsid w:val="00E46886"/>
    <w:rsid w:val="00E46ADA"/>
    <w:rsid w:val="00E47AEF"/>
    <w:rsid w:val="00E53B75"/>
    <w:rsid w:val="00E54E3B"/>
    <w:rsid w:val="00E5660E"/>
    <w:rsid w:val="00E57565"/>
    <w:rsid w:val="00E63838"/>
    <w:rsid w:val="00E64434"/>
    <w:rsid w:val="00E65920"/>
    <w:rsid w:val="00E660D3"/>
    <w:rsid w:val="00E67C51"/>
    <w:rsid w:val="00E72EFC"/>
    <w:rsid w:val="00E758EC"/>
    <w:rsid w:val="00E771B5"/>
    <w:rsid w:val="00E8234C"/>
    <w:rsid w:val="00E83AA9"/>
    <w:rsid w:val="00E85928"/>
    <w:rsid w:val="00E87822"/>
    <w:rsid w:val="00E90395"/>
    <w:rsid w:val="00E90E49"/>
    <w:rsid w:val="00E917F9"/>
    <w:rsid w:val="00E9291C"/>
    <w:rsid w:val="00E931D4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D2A30"/>
    <w:rsid w:val="00EF18FE"/>
    <w:rsid w:val="00EF5787"/>
    <w:rsid w:val="00EF60D0"/>
    <w:rsid w:val="00EF6C3B"/>
    <w:rsid w:val="00F01FBF"/>
    <w:rsid w:val="00F0528D"/>
    <w:rsid w:val="00F06C67"/>
    <w:rsid w:val="00F06DFD"/>
    <w:rsid w:val="00F071D1"/>
    <w:rsid w:val="00F07533"/>
    <w:rsid w:val="00F10629"/>
    <w:rsid w:val="00F154BD"/>
    <w:rsid w:val="00F15FA5"/>
    <w:rsid w:val="00F17FAC"/>
    <w:rsid w:val="00F209B7"/>
    <w:rsid w:val="00F2376F"/>
    <w:rsid w:val="00F243D8"/>
    <w:rsid w:val="00F30828"/>
    <w:rsid w:val="00F313D6"/>
    <w:rsid w:val="00F40F0C"/>
    <w:rsid w:val="00F41B4E"/>
    <w:rsid w:val="00F46EF2"/>
    <w:rsid w:val="00F4766C"/>
    <w:rsid w:val="00F507D1"/>
    <w:rsid w:val="00F519CE"/>
    <w:rsid w:val="00F51ADA"/>
    <w:rsid w:val="00F607C5"/>
    <w:rsid w:val="00F60DEA"/>
    <w:rsid w:val="00F62020"/>
    <w:rsid w:val="00F6302A"/>
    <w:rsid w:val="00F6433F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162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47D"/>
    <w:rsid w:val="00FB09C7"/>
    <w:rsid w:val="00FB4C80"/>
    <w:rsid w:val="00FB6A6A"/>
    <w:rsid w:val="00FB7575"/>
    <w:rsid w:val="00FC5EFD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E7EB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7C37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362D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qFormat/>
    <w:rsid w:val="00362DD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362DD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362DD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62DD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62DD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62DD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62DD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62DD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37C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7C37"/>
  </w:style>
  <w:style w:type="paragraph" w:styleId="TOC8">
    <w:name w:val="toc 8"/>
    <w:basedOn w:val="TOC1"/>
    <w:semiHidden/>
    <w:rsid w:val="00362DDE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62DD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62DD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62DDE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62DDE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62DDE"/>
    <w:pPr>
      <w:ind w:left="1418" w:hanging="1418"/>
    </w:pPr>
  </w:style>
  <w:style w:type="paragraph" w:styleId="TOC3">
    <w:name w:val="toc 3"/>
    <w:basedOn w:val="TOC2"/>
    <w:semiHidden/>
    <w:rsid w:val="00362DDE"/>
    <w:pPr>
      <w:ind w:left="1134" w:hanging="1134"/>
    </w:pPr>
  </w:style>
  <w:style w:type="paragraph" w:styleId="TOC2">
    <w:name w:val="toc 2"/>
    <w:basedOn w:val="TOC1"/>
    <w:semiHidden/>
    <w:rsid w:val="00362DDE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62DDE"/>
    <w:pPr>
      <w:ind w:left="284"/>
    </w:pPr>
  </w:style>
  <w:style w:type="paragraph" w:styleId="Index1">
    <w:name w:val="index 1"/>
    <w:basedOn w:val="Normal"/>
    <w:semiHidden/>
    <w:rsid w:val="00362DDE"/>
    <w:pPr>
      <w:keepLines/>
      <w:spacing w:after="0"/>
    </w:pPr>
  </w:style>
  <w:style w:type="paragraph" w:styleId="DocumentMap">
    <w:name w:val="Document Map"/>
    <w:basedOn w:val="Normal"/>
    <w:semiHidden/>
    <w:rsid w:val="00362DD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62DDE"/>
    <w:pPr>
      <w:ind w:left="851"/>
    </w:pPr>
  </w:style>
  <w:style w:type="paragraph" w:styleId="ListNumber">
    <w:name w:val="List Number"/>
    <w:basedOn w:val="List"/>
    <w:rsid w:val="00362DDE"/>
  </w:style>
  <w:style w:type="paragraph" w:styleId="List">
    <w:name w:val="List"/>
    <w:basedOn w:val="Normal"/>
    <w:rsid w:val="00362DDE"/>
    <w:pPr>
      <w:ind w:left="568" w:hanging="284"/>
    </w:pPr>
  </w:style>
  <w:style w:type="paragraph" w:styleId="Header">
    <w:name w:val="header"/>
    <w:rsid w:val="00362DD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62DD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62DD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62DD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62DDE"/>
    <w:pPr>
      <w:ind w:left="1418" w:hanging="1418"/>
    </w:pPr>
  </w:style>
  <w:style w:type="paragraph" w:styleId="TOC6">
    <w:name w:val="toc 6"/>
    <w:basedOn w:val="TOC5"/>
    <w:next w:val="Normal"/>
    <w:semiHidden/>
    <w:rsid w:val="00362DDE"/>
    <w:pPr>
      <w:ind w:left="1985" w:hanging="1985"/>
    </w:pPr>
  </w:style>
  <w:style w:type="paragraph" w:styleId="TOC7">
    <w:name w:val="toc 7"/>
    <w:basedOn w:val="TOC6"/>
    <w:next w:val="Normal"/>
    <w:semiHidden/>
    <w:rsid w:val="00362DDE"/>
    <w:pPr>
      <w:ind w:left="2268" w:hanging="2268"/>
    </w:pPr>
  </w:style>
  <w:style w:type="paragraph" w:styleId="ListBullet2">
    <w:name w:val="List Bullet 2"/>
    <w:basedOn w:val="ListBullet"/>
    <w:rsid w:val="00362DDE"/>
    <w:pPr>
      <w:numPr>
        <w:numId w:val="6"/>
      </w:numPr>
    </w:pPr>
  </w:style>
  <w:style w:type="paragraph" w:styleId="ListBullet">
    <w:name w:val="List Bullet"/>
    <w:basedOn w:val="BodyText"/>
    <w:rsid w:val="00362DDE"/>
    <w:pPr>
      <w:numPr>
        <w:numId w:val="5"/>
      </w:numPr>
    </w:pPr>
  </w:style>
  <w:style w:type="paragraph" w:styleId="ListBullet3">
    <w:name w:val="List Bullet 3"/>
    <w:basedOn w:val="ListBullet2"/>
    <w:rsid w:val="00362DDE"/>
    <w:pPr>
      <w:numPr>
        <w:numId w:val="7"/>
      </w:numPr>
    </w:pPr>
  </w:style>
  <w:style w:type="paragraph" w:customStyle="1" w:styleId="EQ">
    <w:name w:val="EQ"/>
    <w:basedOn w:val="Normal"/>
    <w:next w:val="Normal"/>
    <w:rsid w:val="00362DDE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362DDE"/>
    <w:pPr>
      <w:ind w:left="851"/>
    </w:pPr>
  </w:style>
  <w:style w:type="paragraph" w:styleId="List3">
    <w:name w:val="List 3"/>
    <w:basedOn w:val="List2"/>
    <w:rsid w:val="00362DDE"/>
    <w:pPr>
      <w:ind w:left="1135"/>
    </w:pPr>
  </w:style>
  <w:style w:type="paragraph" w:styleId="List4">
    <w:name w:val="List 4"/>
    <w:basedOn w:val="List3"/>
    <w:rsid w:val="00362DDE"/>
    <w:pPr>
      <w:ind w:left="1418"/>
    </w:pPr>
  </w:style>
  <w:style w:type="paragraph" w:styleId="List5">
    <w:name w:val="List 5"/>
    <w:basedOn w:val="List4"/>
    <w:rsid w:val="00362DDE"/>
    <w:pPr>
      <w:ind w:left="1702"/>
    </w:pPr>
  </w:style>
  <w:style w:type="paragraph" w:customStyle="1" w:styleId="EditorsNote">
    <w:name w:val="Editor's Note"/>
    <w:basedOn w:val="Normal"/>
    <w:rsid w:val="00362DDE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362DDE"/>
    <w:pPr>
      <w:numPr>
        <w:numId w:val="8"/>
      </w:numPr>
    </w:pPr>
  </w:style>
  <w:style w:type="paragraph" w:styleId="ListBullet5">
    <w:name w:val="List Bullet 5"/>
    <w:basedOn w:val="ListBullet4"/>
    <w:rsid w:val="00362DDE"/>
    <w:pPr>
      <w:numPr>
        <w:numId w:val="4"/>
      </w:numPr>
    </w:pPr>
  </w:style>
  <w:style w:type="paragraph" w:styleId="Footer">
    <w:name w:val="footer"/>
    <w:basedOn w:val="Header"/>
    <w:semiHidden/>
    <w:rsid w:val="00362DD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62DDE"/>
    <w:pPr>
      <w:numPr>
        <w:numId w:val="2"/>
      </w:numPr>
    </w:pPr>
  </w:style>
  <w:style w:type="paragraph" w:styleId="BalloonText">
    <w:name w:val="Balloon Text"/>
    <w:basedOn w:val="Normal"/>
    <w:semiHidden/>
    <w:rsid w:val="00362DD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62DDE"/>
  </w:style>
  <w:style w:type="paragraph" w:styleId="BodyText">
    <w:name w:val="Body Text"/>
    <w:basedOn w:val="Normal"/>
    <w:link w:val="BodyTextChar"/>
    <w:rsid w:val="00362DDE"/>
  </w:style>
  <w:style w:type="character" w:styleId="Hyperlink">
    <w:name w:val="Hyperlink"/>
    <w:uiPriority w:val="99"/>
    <w:rsid w:val="00362DDE"/>
    <w:rPr>
      <w:color w:val="0000FF"/>
      <w:u w:val="single"/>
      <w:lang w:val="en-GB"/>
    </w:rPr>
  </w:style>
  <w:style w:type="character" w:styleId="FollowedHyperlink">
    <w:name w:val="FollowedHyperlink"/>
    <w:semiHidden/>
    <w:rsid w:val="00362DDE"/>
    <w:rPr>
      <w:color w:val="FF0000"/>
      <w:u w:val="single"/>
    </w:rPr>
  </w:style>
  <w:style w:type="character" w:styleId="CommentReference">
    <w:name w:val="annotation reference"/>
    <w:semiHidden/>
    <w:rsid w:val="00362DD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62DDE"/>
  </w:style>
  <w:style w:type="paragraph" w:styleId="CommentSubject">
    <w:name w:val="annotation subject"/>
    <w:basedOn w:val="CommentText"/>
    <w:next w:val="CommentText"/>
    <w:semiHidden/>
    <w:rsid w:val="00362DDE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362DD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362DDE"/>
    <w:pPr>
      <w:spacing w:after="180"/>
    </w:pPr>
    <w:rPr>
      <w:lang w:eastAsia="en-US"/>
    </w:rPr>
  </w:style>
  <w:style w:type="paragraph" w:customStyle="1" w:styleId="B2">
    <w:name w:val="B2"/>
    <w:basedOn w:val="List2"/>
    <w:rsid w:val="00362DDE"/>
    <w:pPr>
      <w:spacing w:after="180"/>
    </w:pPr>
    <w:rPr>
      <w:lang w:eastAsia="en-US"/>
    </w:rPr>
  </w:style>
  <w:style w:type="paragraph" w:customStyle="1" w:styleId="B3">
    <w:name w:val="B3"/>
    <w:basedOn w:val="List3"/>
    <w:rsid w:val="00362DDE"/>
    <w:pPr>
      <w:spacing w:after="180"/>
    </w:pPr>
    <w:rPr>
      <w:lang w:eastAsia="en-US"/>
    </w:rPr>
  </w:style>
  <w:style w:type="paragraph" w:customStyle="1" w:styleId="B4">
    <w:name w:val="B4"/>
    <w:basedOn w:val="List4"/>
    <w:rsid w:val="00362DDE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362DD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62DD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62DDE"/>
    <w:pPr>
      <w:spacing w:after="180"/>
    </w:pPr>
    <w:rPr>
      <w:lang w:eastAsia="en-US"/>
    </w:rPr>
  </w:style>
  <w:style w:type="paragraph" w:customStyle="1" w:styleId="EX">
    <w:name w:val="EX"/>
    <w:basedOn w:val="Normal"/>
    <w:rsid w:val="00362DDE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362DDE"/>
    <w:pPr>
      <w:spacing w:after="0"/>
    </w:pPr>
  </w:style>
  <w:style w:type="paragraph" w:customStyle="1" w:styleId="TAL">
    <w:name w:val="TAL"/>
    <w:basedOn w:val="Normal"/>
    <w:rsid w:val="00362DDE"/>
    <w:pPr>
      <w:keepNext/>
      <w:keepLines/>
      <w:spacing w:after="0"/>
    </w:pPr>
    <w:rPr>
      <w:sz w:val="18"/>
      <w:lang w:eastAsia="en-US"/>
    </w:rPr>
  </w:style>
  <w:style w:type="paragraph" w:customStyle="1" w:styleId="TAC">
    <w:name w:val="TAC"/>
    <w:basedOn w:val="TAL"/>
    <w:rsid w:val="00362DDE"/>
    <w:pPr>
      <w:jc w:val="center"/>
    </w:pPr>
  </w:style>
  <w:style w:type="paragraph" w:customStyle="1" w:styleId="TAH">
    <w:name w:val="TAH"/>
    <w:basedOn w:val="TAC"/>
    <w:rsid w:val="00362DDE"/>
    <w:rPr>
      <w:b/>
    </w:rPr>
  </w:style>
  <w:style w:type="paragraph" w:customStyle="1" w:styleId="TAN">
    <w:name w:val="TAN"/>
    <w:basedOn w:val="TAL"/>
    <w:rsid w:val="00362DDE"/>
    <w:pPr>
      <w:ind w:left="851" w:hanging="851"/>
    </w:pPr>
  </w:style>
  <w:style w:type="paragraph" w:customStyle="1" w:styleId="TAR">
    <w:name w:val="TAR"/>
    <w:basedOn w:val="TAL"/>
    <w:rsid w:val="00362DDE"/>
    <w:pPr>
      <w:jc w:val="right"/>
    </w:pPr>
  </w:style>
  <w:style w:type="paragraph" w:customStyle="1" w:styleId="TH">
    <w:name w:val="TH"/>
    <w:basedOn w:val="Normal"/>
    <w:rsid w:val="00362DD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62DD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62DD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62D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62D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62D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62D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62DDE"/>
  </w:style>
  <w:style w:type="paragraph" w:customStyle="1" w:styleId="ZH">
    <w:name w:val="ZH"/>
    <w:rsid w:val="00362D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62D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62DD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62D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62DDE"/>
    <w:pPr>
      <w:framePr w:wrap="notBeside" w:y="16161"/>
    </w:pPr>
  </w:style>
  <w:style w:type="paragraph" w:customStyle="1" w:styleId="FP">
    <w:name w:val="FP"/>
    <w:basedOn w:val="Normal"/>
    <w:rsid w:val="00362DDE"/>
    <w:pPr>
      <w:spacing w:after="0"/>
    </w:pPr>
    <w:rPr>
      <w:lang w:eastAsia="en-US"/>
    </w:rPr>
  </w:style>
  <w:style w:type="paragraph" w:customStyle="1" w:styleId="Observation">
    <w:name w:val="Observation"/>
    <w:basedOn w:val="Proposal"/>
    <w:qFormat/>
    <w:rsid w:val="00362DDE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62DDE"/>
    <w:pPr>
      <w:ind w:left="1418" w:hanging="1418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9E60EC"/>
    <w:pPr>
      <w:spacing w:after="0"/>
      <w:ind w:left="720"/>
    </w:pPr>
    <w:rPr>
      <w:rFonts w:ascii="Calibri" w:eastAsiaTheme="minorHAnsi" w:hAnsi="Calibri"/>
      <w:lang w:eastAsia="en-US"/>
    </w:rPr>
  </w:style>
  <w:style w:type="character" w:customStyle="1" w:styleId="ListParagraphChar">
    <w:name w:val="List Paragraph Char"/>
    <w:link w:val="ListParagraph"/>
    <w:uiPriority w:val="34"/>
    <w:rsid w:val="00B7198C"/>
    <w:rPr>
      <w:rFonts w:ascii="Calibri" w:eastAsiaTheme="minorHAnsi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047CB6"/>
    <w:rPr>
      <w:color w:val="808080"/>
    </w:rPr>
  </w:style>
  <w:style w:type="paragraph" w:customStyle="1" w:styleId="IvDbodytext">
    <w:name w:val="IvD bodytext"/>
    <w:basedOn w:val="BodyText"/>
    <w:link w:val="IvDbodytextChar"/>
    <w:rsid w:val="007D4D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7D4D53"/>
    <w:rPr>
      <w:rFonts w:ascii="Arial" w:eastAsiaTheme="minorEastAsia" w:hAnsi="Arial"/>
      <w:spacing w:val="2"/>
    </w:rPr>
  </w:style>
  <w:style w:type="table" w:styleId="TableGrid">
    <w:name w:val="Table Grid"/>
    <w:basedOn w:val="TableNormal"/>
    <w:uiPriority w:val="59"/>
    <w:rsid w:val="000F0F1F"/>
    <w:rPr>
      <w:rFonts w:asciiTheme="minorHAnsi" w:eastAsiaTheme="minorEastAsia" w:hAnsiTheme="minorHAnsi" w:cstheme="minorBid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5D4811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6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818</Words>
  <Characters>3786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2018-04-06T11:41:00Z</dcterms:created>
  <dcterms:modified xsi:type="dcterms:W3CDTF">2018-04-06T12:18:00Z</dcterms:modified>
</cp:coreProperties>
</file>